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DA" w:rsidRDefault="00641409">
      <w:pPr>
        <w:spacing w:after="321"/>
        <w:ind w:right="47"/>
        <w:jc w:val="center"/>
      </w:pPr>
      <w:r>
        <w:rPr>
          <w:rFonts w:ascii="Arial" w:eastAsia="Arial" w:hAnsi="Arial" w:cs="Arial"/>
          <w:b/>
          <w:sz w:val="24"/>
        </w:rPr>
        <w:t xml:space="preserve">Kosztorys </w:t>
      </w:r>
      <w:r w:rsidR="00796C05">
        <w:rPr>
          <w:rFonts w:ascii="Arial" w:eastAsia="Arial" w:hAnsi="Arial" w:cs="Arial"/>
          <w:b/>
          <w:sz w:val="24"/>
        </w:rPr>
        <w:t>ofertowy</w:t>
      </w:r>
    </w:p>
    <w:p w:rsidR="004462DA" w:rsidRDefault="00641409">
      <w:pPr>
        <w:spacing w:after="12" w:line="261" w:lineRule="auto"/>
        <w:ind w:left="3326" w:right="1" w:hanging="1574"/>
      </w:pPr>
      <w:r>
        <w:rPr>
          <w:rFonts w:ascii="Arial" w:eastAsia="Arial" w:hAnsi="Arial" w:cs="Arial"/>
          <w:sz w:val="17"/>
        </w:rPr>
        <w:t>Nazwa kosztorysu: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b/>
          <w:sz w:val="17"/>
        </w:rPr>
        <w:t xml:space="preserve">Prace adaptacyjne w pracowni obsługi konsumenta. Realizowanego w ramach projektu pod nazwą '' Poprawa jakości edukacji zawodowej w Aglomeracji  </w:t>
      </w:r>
      <w:proofErr w:type="spellStart"/>
      <w:r>
        <w:rPr>
          <w:rFonts w:ascii="Arial" w:eastAsia="Arial" w:hAnsi="Arial" w:cs="Arial"/>
          <w:b/>
          <w:sz w:val="17"/>
        </w:rPr>
        <w:t>Konińskiej-dostosowanie</w:t>
      </w:r>
      <w:proofErr w:type="spellEnd"/>
      <w:r>
        <w:rPr>
          <w:rFonts w:ascii="Arial" w:eastAsia="Arial" w:hAnsi="Arial" w:cs="Arial"/>
          <w:b/>
          <w:sz w:val="17"/>
        </w:rPr>
        <w:t xml:space="preserve"> infrastruktury edukacyjnej do potrzeb regionalnego rynku pracy'', realizowanego w ramach Wielkopolskiego Regionalnego Programu Operacyjnego na lata 2014 - 2020</w:t>
      </w:r>
    </w:p>
    <w:p w:rsidR="004462DA" w:rsidRDefault="00641409" w:rsidP="00796C05">
      <w:pPr>
        <w:tabs>
          <w:tab w:val="center" w:pos="2812"/>
          <w:tab w:val="center" w:pos="4615"/>
        </w:tabs>
        <w:spacing w:after="12" w:line="261" w:lineRule="auto"/>
      </w:pPr>
      <w:r>
        <w:tab/>
      </w:r>
    </w:p>
    <w:p w:rsidR="004462DA" w:rsidRDefault="00641409" w:rsidP="00796C05">
      <w:pPr>
        <w:tabs>
          <w:tab w:val="center" w:pos="2716"/>
          <w:tab w:val="center" w:pos="3613"/>
        </w:tabs>
        <w:spacing w:after="8" w:line="265" w:lineRule="auto"/>
      </w:pPr>
      <w:r>
        <w:tab/>
      </w:r>
    </w:p>
    <w:p w:rsidR="004462DA" w:rsidRDefault="00641409">
      <w:pPr>
        <w:tabs>
          <w:tab w:val="center" w:pos="2171"/>
          <w:tab w:val="center" w:pos="3782"/>
        </w:tabs>
        <w:spacing w:after="12" w:line="261" w:lineRule="auto"/>
      </w:pPr>
      <w:r>
        <w:tab/>
      </w:r>
      <w:r>
        <w:rPr>
          <w:rFonts w:ascii="Arial" w:eastAsia="Arial" w:hAnsi="Arial" w:cs="Arial"/>
          <w:b/>
          <w:sz w:val="17"/>
        </w:rPr>
        <w:t>Kwota kosztorysu netto:</w:t>
      </w:r>
      <w:r>
        <w:rPr>
          <w:rFonts w:ascii="Arial" w:eastAsia="Arial" w:hAnsi="Arial" w:cs="Arial"/>
          <w:b/>
          <w:sz w:val="17"/>
        </w:rPr>
        <w:tab/>
        <w:t>zł</w:t>
      </w:r>
    </w:p>
    <w:p w:rsidR="004462DA" w:rsidRDefault="00641409">
      <w:pPr>
        <w:tabs>
          <w:tab w:val="center" w:pos="2980"/>
          <w:tab w:val="center" w:pos="3782"/>
        </w:tabs>
        <w:spacing w:after="12" w:line="261" w:lineRule="auto"/>
      </w:pPr>
      <w:r>
        <w:tab/>
      </w:r>
      <w:r>
        <w:rPr>
          <w:rFonts w:ascii="Arial" w:eastAsia="Arial" w:hAnsi="Arial" w:cs="Arial"/>
          <w:b/>
          <w:sz w:val="17"/>
        </w:rPr>
        <w:t>VAT:</w:t>
      </w:r>
      <w:r>
        <w:rPr>
          <w:rFonts w:ascii="Arial" w:eastAsia="Arial" w:hAnsi="Arial" w:cs="Arial"/>
          <w:b/>
          <w:sz w:val="17"/>
        </w:rPr>
        <w:tab/>
        <w:t>zł</w:t>
      </w:r>
    </w:p>
    <w:p w:rsidR="004462DA" w:rsidRDefault="00641409">
      <w:pPr>
        <w:tabs>
          <w:tab w:val="center" w:pos="2133"/>
          <w:tab w:val="center" w:pos="3782"/>
        </w:tabs>
        <w:spacing w:after="12" w:line="261" w:lineRule="auto"/>
      </w:pPr>
      <w:r>
        <w:tab/>
      </w:r>
      <w:r>
        <w:rPr>
          <w:rFonts w:ascii="Arial" w:eastAsia="Arial" w:hAnsi="Arial" w:cs="Arial"/>
          <w:b/>
          <w:sz w:val="17"/>
        </w:rPr>
        <w:t>Kwota kosztorysu brutto:</w:t>
      </w:r>
      <w:r>
        <w:rPr>
          <w:rFonts w:ascii="Arial" w:eastAsia="Arial" w:hAnsi="Arial" w:cs="Arial"/>
          <w:b/>
          <w:sz w:val="17"/>
        </w:rPr>
        <w:tab/>
        <w:t>zł</w:t>
      </w:r>
    </w:p>
    <w:p w:rsidR="004462DA" w:rsidRDefault="00641409">
      <w:pPr>
        <w:tabs>
          <w:tab w:val="center" w:pos="2788"/>
          <w:tab w:val="center" w:pos="6180"/>
        </w:tabs>
        <w:spacing w:after="399" w:line="261" w:lineRule="auto"/>
      </w:pPr>
      <w:r>
        <w:tab/>
      </w:r>
      <w:r>
        <w:rPr>
          <w:rFonts w:ascii="Arial" w:eastAsia="Arial" w:hAnsi="Arial" w:cs="Arial"/>
          <w:b/>
          <w:sz w:val="17"/>
        </w:rPr>
        <w:t>Słownie:</w:t>
      </w:r>
      <w:r>
        <w:rPr>
          <w:rFonts w:ascii="Arial" w:eastAsia="Arial" w:hAnsi="Arial" w:cs="Arial"/>
          <w:b/>
          <w:sz w:val="17"/>
        </w:rPr>
        <w:tab/>
      </w:r>
    </w:p>
    <w:p w:rsidR="00796C05" w:rsidRDefault="00796C05">
      <w:pPr>
        <w:tabs>
          <w:tab w:val="center" w:pos="5019"/>
          <w:tab w:val="right" w:pos="11186"/>
        </w:tabs>
        <w:spacing w:after="8" w:line="265" w:lineRule="auto"/>
        <w:ind w:left="-15"/>
        <w:rPr>
          <w:rFonts w:ascii="Arial" w:eastAsia="Arial" w:hAnsi="Arial" w:cs="Arial"/>
          <w:b/>
          <w:sz w:val="17"/>
        </w:rPr>
      </w:pPr>
    </w:p>
    <w:p w:rsidR="00796C05" w:rsidRDefault="00796C05">
      <w:pPr>
        <w:tabs>
          <w:tab w:val="center" w:pos="5019"/>
          <w:tab w:val="right" w:pos="11186"/>
        </w:tabs>
        <w:spacing w:after="8" w:line="265" w:lineRule="auto"/>
        <w:ind w:left="-15"/>
        <w:rPr>
          <w:rFonts w:ascii="Arial" w:eastAsia="Arial" w:hAnsi="Arial" w:cs="Arial"/>
          <w:b/>
          <w:sz w:val="17"/>
        </w:rPr>
      </w:pPr>
    </w:p>
    <w:p w:rsidR="00796C05" w:rsidRDefault="00796C05">
      <w:pPr>
        <w:tabs>
          <w:tab w:val="center" w:pos="5019"/>
          <w:tab w:val="right" w:pos="11186"/>
        </w:tabs>
        <w:spacing w:after="8" w:line="265" w:lineRule="auto"/>
        <w:ind w:left="-15"/>
        <w:rPr>
          <w:rFonts w:ascii="Arial" w:eastAsia="Arial" w:hAnsi="Arial" w:cs="Arial"/>
          <w:b/>
          <w:sz w:val="17"/>
        </w:rPr>
      </w:pPr>
    </w:p>
    <w:p w:rsidR="004462DA" w:rsidRDefault="00641409">
      <w:pPr>
        <w:tabs>
          <w:tab w:val="center" w:pos="5019"/>
          <w:tab w:val="right" w:pos="11186"/>
        </w:tabs>
        <w:spacing w:after="8" w:line="265" w:lineRule="auto"/>
        <w:ind w:left="-15"/>
      </w:pPr>
      <w:r>
        <w:rPr>
          <w:rFonts w:ascii="Arial" w:eastAsia="Arial" w:hAnsi="Arial" w:cs="Arial"/>
          <w:b/>
          <w:sz w:val="17"/>
        </w:rPr>
        <w:tab/>
      </w:r>
    </w:p>
    <w:p w:rsidR="004462DA" w:rsidRDefault="004462DA">
      <w:pPr>
        <w:spacing w:after="102"/>
        <w:ind w:left="4217" w:hanging="10"/>
      </w:pPr>
      <w:bookmarkStart w:id="0" w:name="_GoBack"/>
      <w:bookmarkEnd w:id="0"/>
    </w:p>
    <w:tbl>
      <w:tblPr>
        <w:tblStyle w:val="TableGrid"/>
        <w:tblW w:w="11215" w:type="dxa"/>
        <w:tblInd w:w="-36" w:type="dxa"/>
        <w:tblCellMar>
          <w:top w:w="9" w:type="dxa"/>
          <w:left w:w="7" w:type="dxa"/>
          <w:bottom w:w="13" w:type="dxa"/>
          <w:right w:w="16" w:type="dxa"/>
        </w:tblCellMar>
        <w:tblLook w:val="04A0" w:firstRow="1" w:lastRow="0" w:firstColumn="1" w:lastColumn="0" w:noHBand="0" w:noVBand="1"/>
      </w:tblPr>
      <w:tblGrid>
        <w:gridCol w:w="462"/>
        <w:gridCol w:w="1294"/>
        <w:gridCol w:w="6248"/>
        <w:gridCol w:w="646"/>
        <w:gridCol w:w="792"/>
        <w:gridCol w:w="899"/>
        <w:gridCol w:w="874"/>
      </w:tblGrid>
      <w:tr w:rsidR="004462DA">
        <w:trPr>
          <w:trHeight w:val="4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&lt;-N</w:t>
            </w:r>
          </w:p>
          <w:p w:rsidR="004462DA" w:rsidRDefault="00641409">
            <w:pPr>
              <w:ind w:left="132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&lt;-P</w:t>
            </w:r>
          </w:p>
          <w:p w:rsidR="004462DA" w:rsidRDefault="00641409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Podstawa ceny jednostkowej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</w:t>
            </w:r>
          </w:p>
          <w:p w:rsidR="004462DA" w:rsidRDefault="0064140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&lt;-J</w:t>
            </w:r>
          </w:p>
          <w:p w:rsidR="004462DA" w:rsidRDefault="00641409">
            <w:pPr>
              <w:ind w:left="197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Jm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&lt;-I</w:t>
            </w:r>
          </w:p>
          <w:p w:rsidR="004462DA" w:rsidRDefault="00641409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Ilość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&lt;-C</w:t>
            </w:r>
          </w:p>
          <w:p w:rsidR="004462DA" w:rsidRDefault="00641409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Cena jedn.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&lt;-W</w:t>
            </w:r>
          </w:p>
          <w:p w:rsidR="004462DA" w:rsidRDefault="00641409">
            <w:pPr>
              <w:ind w:left="108"/>
            </w:pPr>
            <w:r>
              <w:rPr>
                <w:rFonts w:ascii="Arial" w:eastAsia="Arial" w:hAnsi="Arial" w:cs="Arial"/>
                <w:b/>
                <w:sz w:val="17"/>
              </w:rPr>
              <w:t>Wartość</w:t>
            </w:r>
          </w:p>
        </w:tc>
      </w:tr>
      <w:tr w:rsidR="004462DA">
        <w:trPr>
          <w:trHeight w:val="144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Kosztorys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b/>
                <w:sz w:val="19"/>
              </w:rPr>
              <w:t xml:space="preserve">Prace adaptacyjne w pracowni obsługi konsumenta.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b/>
                <w:sz w:val="19"/>
              </w:rPr>
              <w:t xml:space="preserve">Realizowanego w ramach projektu pod nazwą '' Poprawa jakości edukacji zawodowej w Aglomeracji 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Konińskiej-dostosowanie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infrastruktury edukacyjnej do potrzeb regionalnego rynku pracy'', realizowanego w ramach Wielkopolskiego Regionalnego Programu Operacyjnego na lata 2014 - 2020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78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/>
        </w:tc>
      </w:tr>
      <w:tr w:rsidR="004462DA">
        <w:trPr>
          <w:trHeight w:val="245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Element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b/>
                <w:sz w:val="18"/>
              </w:rPr>
              <w:t>Roboty rozbiórkowe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/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401/354/5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Wykucie z muru, ościeżnic drewnianych, powierzchnia ponad 2˙m2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14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401/426/2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Rozebranie obicia ścian drewnianych, deski nieotynkowane na styk; analogia ; demontaż drzwi przesuwnych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17,289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KNNRW 3/801/4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Rozebranie posadzek z płytek na zaprawie cementowej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68,146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401/106/4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Usuniecie gruzu  z parteru budynku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14"/>
              <w:jc w:val="right"/>
            </w:pPr>
            <w:r>
              <w:rPr>
                <w:rFonts w:ascii="Arial" w:eastAsia="Arial" w:hAnsi="Arial" w:cs="Arial"/>
                <w:sz w:val="17"/>
              </w:rPr>
              <w:t>7,283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13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197"/>
        </w:trPr>
        <w:tc>
          <w:tcPr>
            <w:tcW w:w="10342" w:type="dxa"/>
            <w:gridSpan w:val="6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102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Razem Roboty rozbiórkowe 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7"/>
              <w:jc w:val="right"/>
            </w:pPr>
          </w:p>
        </w:tc>
      </w:tr>
      <w:tr w:rsidR="004462DA">
        <w:trPr>
          <w:trHeight w:val="245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Element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b/>
                <w:sz w:val="18"/>
              </w:rPr>
              <w:t>Roboty budowlane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/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KNR 14/2010/3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(2)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Ścianki działowe GR z płyt gipsowo-kartonowych na pojedynczych rusztach metalowych, pokrycie obustronne, ścianki jednowarstwowe, typ 100-101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11,700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NNRNKB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202/1134/2 (2)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Gruntowanie podłoży, powierzchnie pionowe, preparatem Atlas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Uni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Grunt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23,400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202/815/2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Gładź gipsowa na ścianach z płyt gipsowych, 2-warstwowa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23,400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202/1505/5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Malowanie farbami emulsyjnymi wewnętrznych płyt gipsowych spoinowanych i szpachlowanych, z gruntowaniem, 2-krotnie - farba lateksowa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23,400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NNRNKB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202/1134/1 (2)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Gruntowanie podłoży, powierzchnie poziome, preparatem Atlas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Uni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Grunt - sufit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119,667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NNRNKB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202/2015/1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Gładzie gipsowe 1-warstwowe na stropach o powierzchni ponad 5˙m2, (grubość 3˙mm) na tynku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4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202/1505/7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Malowanie farbami emulsyjnymi wewnętrznych suchych tynków z gruntowaniem, 2-krotne- sufit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119,667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NNRNKB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202/1134/2 (2)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Gruntowanie podłoży, powierzchnie pionowe, preparatem Atlas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Uni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Grunt - ściany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148,494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202/815/4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Gładź gipsowa na ścianach z elementów prefabrykowanych i betonów wylewanych, 2-warstwowa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40,494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KNR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401/1212/18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Malowanie farbą olejną elementów metalowych, grzejniki radiatorowe, 1-krotne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46,800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KNR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401/1212/27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Malowanie farbą olejną elementów metalowych, rury wodociągowe i gazowe, średnica 50˙mm, 1-krotne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12,840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59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ZNPP 12/1306/1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(2)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 w:right="683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Elementy ażurowe, osłony do grzejników, ponad 1.0 m2 - analogia obudowa grzejników i parapetów z paneli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pcv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R = 0,600   M = 1,000   S = 1,000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12,471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KNR 19/928/12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(1)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Montaż i drzwi  z PCV, drzwi , osadzanie 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kotwach;analogia</w:t>
            </w:r>
            <w:proofErr w:type="spellEnd"/>
            <w:r>
              <w:rPr>
                <w:rFonts w:ascii="Arial" w:eastAsia="Arial" w:hAnsi="Arial" w:cs="Arial"/>
                <w:sz w:val="17"/>
              </w:rPr>
              <w:t>; drzwi z PCV wejściowe do pracowni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4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59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lastRenderedPageBreak/>
              <w:t>2.14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KNR 401/708/2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(2)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 w:right="124"/>
              <w:jc w:val="both"/>
            </w:pPr>
            <w:r>
              <w:rPr>
                <w:rFonts w:ascii="Arial" w:eastAsia="Arial" w:hAnsi="Arial" w:cs="Arial"/>
                <w:sz w:val="17"/>
              </w:rPr>
              <w:t>Wykonanie tynków zwykłych wewnętrznych kategorii III na ościeżach (na podłożach z cegieł, pustaków ceramicznych, betonów), tynk cementowo-wapienny, ościeża szerokości do 25˙cm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4"/>
              <w:jc w:val="right"/>
            </w:pPr>
            <w:r>
              <w:rPr>
                <w:rFonts w:ascii="Arial" w:eastAsia="Arial" w:hAnsi="Arial" w:cs="Arial"/>
                <w:sz w:val="17"/>
              </w:rPr>
              <w:t>5,500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ZKNR C 2/603/2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Gruntowanie przygotowanego podłoża, niemineralnego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121,379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1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ZKNR C 2/604/7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Wykonanie jastrychów cementowych na przygotowanym podłożu, wykonywanie szczelin dylatacyjnych, nacinanie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48,980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ZKNR C 2/604/8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Wykonanie jastrychów cementowych na przygotowanym podłożu, wykonywanie szczelin dylatacyjnych, wypełnianie szczelin o szerokości 10 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48,980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202/1106/2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Posadzki cementowe, wraz z cokolikami, zatarte na gładko grubości 25˙mm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121,379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59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NNRNKB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202/1119/11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Posadzki 1- i 2-barwne z płytek terakotowych na zaprawie klejowej "Atlas" w pomieszczeniach o powierzchni ponad 8˙m2, płytki 40x40˙cm - płytki  wysokiej klasy ścieralności/ 4/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121,379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202/1120/7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Cokoliki płytkowe z kamieni sztucznych na klej - z przycinaniem płytek, płytki 40x40˙cm, cokolik 8˙cm, przygotowanie podłoża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50,460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2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202/1120/8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Cokoliki płytkowe z kamieni sztucznych na klej - z przycinaniem płytek, płytki 40x40˙cm, cokolik 8˙cm, metoda zwykła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50,460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401/208/3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Przebicie otworów w elementach z betonu o powierzchni do 0,05˙m2, beton żwirowy, grubość do 30˙cm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4"/>
              <w:jc w:val="right"/>
            </w:pPr>
            <w:r>
              <w:rPr>
                <w:rFonts w:ascii="Arial" w:eastAsia="Arial" w:hAnsi="Arial" w:cs="Arial"/>
                <w:sz w:val="17"/>
              </w:rPr>
              <w:t>2,000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401/333/10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Przebicie otworów w ścianach z cegieł, zaprawa cementowo-wapienna, grubość ścian 1 1/2 cegły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4"/>
              <w:jc w:val="right"/>
            </w:pPr>
            <w:r>
              <w:rPr>
                <w:rFonts w:ascii="Arial" w:eastAsia="Arial" w:hAnsi="Arial" w:cs="Arial"/>
                <w:sz w:val="17"/>
              </w:rPr>
              <w:t>3,000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401/336/3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Wykucie bruzd poziomych w ścianach z cegieł na zaprawie cementowo-wapiennej, głębokość/szerokość 1/2 x 1/2 cegły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11,940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401/342/1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Wykucie bruzd pochyłych w ścianach z cegieł na zaprawie cementowo-wapiennej, głębokość/szerokość 1/4 x 1/2 cegły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11,940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KNRW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215/208/1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Rurociągi z PVC kanalizacyjne, na ścianach w budynkach niemieszkalnych, na wcisk, Fi˙50˙mm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11,940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4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3"/>
              <w:jc w:val="right"/>
            </w:pPr>
          </w:p>
        </w:tc>
      </w:tr>
    </w:tbl>
    <w:p w:rsidR="004462DA" w:rsidRDefault="004462DA">
      <w:pPr>
        <w:spacing w:after="0"/>
        <w:ind w:left="-377" w:right="7"/>
      </w:pPr>
    </w:p>
    <w:tbl>
      <w:tblPr>
        <w:tblStyle w:val="TableGrid"/>
        <w:tblW w:w="11215" w:type="dxa"/>
        <w:tblInd w:w="-36" w:type="dxa"/>
        <w:tblCellMar>
          <w:top w:w="9" w:type="dxa"/>
          <w:left w:w="7" w:type="dxa"/>
          <w:bottom w:w="13" w:type="dxa"/>
        </w:tblCellMar>
        <w:tblLook w:val="04A0" w:firstRow="1" w:lastRow="0" w:firstColumn="1" w:lastColumn="0" w:noHBand="0" w:noVBand="1"/>
      </w:tblPr>
      <w:tblGrid>
        <w:gridCol w:w="463"/>
        <w:gridCol w:w="1294"/>
        <w:gridCol w:w="6256"/>
        <w:gridCol w:w="646"/>
        <w:gridCol w:w="782"/>
        <w:gridCol w:w="900"/>
        <w:gridCol w:w="874"/>
      </w:tblGrid>
      <w:tr w:rsidR="004462DA">
        <w:trPr>
          <w:trHeight w:val="42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&lt;-N</w:t>
            </w:r>
          </w:p>
          <w:p w:rsidR="004462DA" w:rsidRDefault="00641409">
            <w:pPr>
              <w:ind w:left="132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&lt;-P</w:t>
            </w:r>
          </w:p>
          <w:p w:rsidR="004462DA" w:rsidRDefault="00641409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Podstawa ceny jednostkowej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</w:t>
            </w:r>
          </w:p>
          <w:p w:rsidR="004462DA" w:rsidRDefault="00641409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&lt;-J</w:t>
            </w:r>
          </w:p>
          <w:p w:rsidR="004462DA" w:rsidRDefault="00641409">
            <w:pPr>
              <w:ind w:left="197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Jm</w:t>
            </w:r>
            <w:proofErr w:type="spellEnd"/>
          </w:p>
        </w:tc>
        <w:tc>
          <w:tcPr>
            <w:tcW w:w="78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&lt;-I</w:t>
            </w:r>
          </w:p>
          <w:p w:rsidR="004462DA" w:rsidRDefault="00641409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Ilość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&lt;-C</w:t>
            </w:r>
          </w:p>
          <w:p w:rsidR="004462DA" w:rsidRDefault="00641409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Cena jedn.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4462DA" w:rsidRDefault="00641409">
            <w:pPr>
              <w:spacing w:after="126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&lt;-W</w:t>
            </w:r>
          </w:p>
          <w:p w:rsidR="004462DA" w:rsidRDefault="00641409">
            <w:pPr>
              <w:ind w:left="108"/>
            </w:pPr>
            <w:r>
              <w:rPr>
                <w:rFonts w:ascii="Arial" w:eastAsia="Arial" w:hAnsi="Arial" w:cs="Arial"/>
                <w:b/>
                <w:sz w:val="17"/>
              </w:rPr>
              <w:t>Wartość</w:t>
            </w: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2.27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31/104/2</w:t>
            </w:r>
          </w:p>
        </w:tc>
        <w:tc>
          <w:tcPr>
            <w:tcW w:w="625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Rurociągi z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polibutylenu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PB układane w rurze osłonowej w budynkach niemieszkalnych,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15˙mm, bez rozdzielaczy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7"/>
              <w:jc w:val="right"/>
            </w:pPr>
            <w:r>
              <w:rPr>
                <w:rFonts w:ascii="Arial" w:eastAsia="Arial" w:hAnsi="Arial" w:cs="Arial"/>
                <w:sz w:val="17"/>
              </w:rPr>
              <w:t>11,940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13/128/1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Rurociągi z rur PE łączonych metodą mechaniczną na ścianach budynków niemieszkalnych, rurociągi o średnicy 15˙mm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7"/>
              <w:jc w:val="right"/>
            </w:pPr>
            <w:r>
              <w:rPr>
                <w:rFonts w:ascii="Arial" w:eastAsia="Arial" w:hAnsi="Arial" w:cs="Arial"/>
                <w:sz w:val="17"/>
              </w:rPr>
              <w:t>11,940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2.29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31/114/1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Otuliny termoizolacyjne z pianki polietylenowej powlekane folią, grubość 4˙mm, rurociąg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15˙mm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17"/>
              <w:jc w:val="right"/>
            </w:pPr>
            <w:r>
              <w:rPr>
                <w:rFonts w:ascii="Arial" w:eastAsia="Arial" w:hAnsi="Arial" w:cs="Arial"/>
                <w:sz w:val="17"/>
              </w:rPr>
              <w:t>11,940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2.30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215/115/2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Bateria  zmywakowa stojąca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15˙mm - bateria z parametrami ekonomicznymi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2.31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215/112/1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Zawory przelotowe i zwrotne sieci wodociągowych,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15˙mm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4,000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2.32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KNR 215/220/5 </w:t>
            </w:r>
          </w:p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(1)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Zlewozmywak żeliwny lub stalowy na szafce; stal nierdzewna, dwukomorowy / dla barmana/.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197"/>
        </w:trPr>
        <w:tc>
          <w:tcPr>
            <w:tcW w:w="10342" w:type="dxa"/>
            <w:gridSpan w:val="6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7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Razem Roboty budowlane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left="108"/>
            </w:pPr>
          </w:p>
        </w:tc>
      </w:tr>
      <w:tr w:rsidR="004462DA">
        <w:trPr>
          <w:trHeight w:val="245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Element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b/>
                <w:sz w:val="18"/>
              </w:rPr>
              <w:t>Roboty elektryczne i instalacje komputerowe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/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403/1001/5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Wykucie bruzd dla przewodów wtynkowych ręcznie, podłoże: cegła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508/107/2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Rury winidurowe układane p/t w podłożu różnym od betonu w gotowych bruzdach, bez zaprawiania bruzd, rura Fi˙28˙mm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508/207/1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Przewody kabelkowe wciągane do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rur,p</w:t>
            </w:r>
            <w:proofErr w:type="spellEnd"/>
            <w:r>
              <w:rPr>
                <w:rFonts w:ascii="Arial" w:eastAsia="Arial" w:hAnsi="Arial" w:cs="Arial"/>
                <w:sz w:val="17"/>
              </w:rPr>
              <w:t>/t -przewód YDY 5 x 6 mm2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403/1014/1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Ręczne przygotowanie zaprawy, cementowo-wapiennej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0,040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18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403/1012/2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Zaprawianie bruzd, o szerokości do 50˙mm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508/301/2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Przygotowanie podłoża pod osprzęt instalacyjny, osprzęt przykręcany do kołków plastikowych rodzaj podłoża ceglany - tablica główna TOK n/t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1,000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8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508/404/7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Montaż skrzynek i rozdzielnic skrzynkowych wraz z konstrukcją, przykręcenie do gotowego podłoża, masa do 10˙kg - tablica główna TOK n/t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403/1001/7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Wykucie bruzd dla przewodów wtynkowych ręcznie, podłoże: beton - kanały pod listwy w posadzce 80x40 mm2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58,000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508/226/4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Montaż listew ściennych z PVC na ścianach i sufitach, mocowanie do kołków rozporowych na beton -   listwy PCV DL Plus  80x40 mm2 w posadzce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58,000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403/1014/2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Ręczne przygotowanie zaprawy, cementowej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0,544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403/1012/3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Zaprawianie bruzd, o szerokości do 100˙mm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58,000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508/226/3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Montaż listew ściennych z PVC na ścianach i sufitach, mocowanie do kołków rozporowych na cegłę -  listwy PCV DL Plus  80x40 mm2  do ściany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40,000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508/226/3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Montaż listew ściennych z PVC na ścianach i sufitach, mocowanie do kołków rozporowych na cegłę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100,000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508/227/1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Przewody kabelkowe układane na gotowych listwach PVC, łączny przekrój żył do 7,5˙mm2 Cu, poziomo  -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YDYp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3 x1,5mm2  750V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100,000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6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17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508/309/6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Montaż do gotowego podłoża gniazd wtyczkowych z podłączeniem, przewód do 2,5˙mm2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bryzgoszczelne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2P+Z 16A, przykręcane - gniazda potrójne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17,000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lastRenderedPageBreak/>
              <w:t>3.16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KNNR 5/1203/1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Podłączenie przewodów pod zaciski lub bolce, przewód pojedynczy do 2,5˙mm2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17,000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2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28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3.17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508/502/10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Przygotowanie podłoża pod oprawy oświetleniowe przykręcane, mocowanie w betonie na 4 kołkach kotwiących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kpl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14,000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59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508/511/19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Montaż na gotowym podłożu opraw świetlówkowych z blachy stalowej z kloszem z tworzyw sztucznych lub rastrem metalowym względnie z tworzyw sztucznych, z podłączeniem, oprawy oświetleniowe energooszczędne typu LED Solaris 48 W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szt</w:t>
            </w:r>
            <w:proofErr w:type="spellEnd"/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14,000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3.19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508/226/3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Montaż listew ściennych z PVC na ścianach i sufitach, mocowanie do kołków rozporowych na cegłę - kanały do ułożenia przewodów komputerowych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125,000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18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59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KNR 508/227/1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 w:right="255"/>
              <w:jc w:val="both"/>
            </w:pPr>
            <w:r>
              <w:rPr>
                <w:rFonts w:ascii="Arial" w:eastAsia="Arial" w:hAnsi="Arial" w:cs="Arial"/>
                <w:sz w:val="17"/>
              </w:rPr>
              <w:t>Przewody kabelkowe układane na gotowych listwach PVC, łączny przekrój żył do 7,5˙mm2 Cu, poziomo -analogia; - przewód typu kat. 6 U/UTP 4 P  450 MHz LSZ / przewód komputerowy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125,000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</w:tr>
      <w:tr w:rsidR="004462DA">
        <w:trPr>
          <w:trHeight w:val="40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3.21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403/1202/1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Sprawdzenie i pomiar kompletnego obwodu elektrycznego niskiego napięcia, 1-fazowego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pomiar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3.22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403/1205/5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Badanie i pomiar skuteczności zerowania, pomiar pierwszy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pomiar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218"/>
        </w:trPr>
        <w:tc>
          <w:tcPr>
            <w:tcW w:w="46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3.23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KNR 403/1205/6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Badanie i pomiar skuteczności zerowania, pomiar następny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pomiar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29"/>
              <w:jc w:val="right"/>
            </w:pPr>
            <w:r>
              <w:rPr>
                <w:rFonts w:ascii="Arial" w:eastAsia="Arial" w:hAnsi="Arial" w:cs="Arial"/>
                <w:sz w:val="17"/>
              </w:rPr>
              <w:t>10,000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4462DA">
            <w:pPr>
              <w:ind w:right="30"/>
              <w:jc w:val="righ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right="29"/>
              <w:jc w:val="right"/>
            </w:pPr>
          </w:p>
        </w:tc>
      </w:tr>
      <w:tr w:rsidR="004462DA">
        <w:trPr>
          <w:trHeight w:val="197"/>
        </w:trPr>
        <w:tc>
          <w:tcPr>
            <w:tcW w:w="10342" w:type="dxa"/>
            <w:gridSpan w:val="6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462DA" w:rsidRDefault="00641409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Razem Roboty elektryczne i instalacje komputerowe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462DA" w:rsidRDefault="004462DA">
            <w:pPr>
              <w:ind w:left="108"/>
            </w:pPr>
          </w:p>
        </w:tc>
      </w:tr>
      <w:tr w:rsidR="004462DA">
        <w:trPr>
          <w:trHeight w:val="598"/>
        </w:trPr>
        <w:tc>
          <w:tcPr>
            <w:tcW w:w="10342" w:type="dxa"/>
            <w:gridSpan w:val="6"/>
            <w:tcBorders>
              <w:top w:val="single" w:sz="2" w:space="0" w:color="000000"/>
              <w:left w:val="single" w:sz="5" w:space="0" w:color="000000"/>
              <w:bottom w:val="nil"/>
              <w:right w:val="single" w:sz="2" w:space="0" w:color="000000"/>
            </w:tcBorders>
          </w:tcPr>
          <w:p w:rsidR="004462DA" w:rsidRDefault="00641409">
            <w:pPr>
              <w:ind w:right="-3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Razem Prace adaptacyjne w pracowni obsługi konsumenta. Realizowanego w ramach projektu pod nazwą '' Poprawa jakości edukacji zawodowej w Aglomeracji 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Konińskiej-dostosowanie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infrastruktury edukacyjnej do potrzeb regionalnego rynku pracy'' realizowanego w ramach Wielkopolskiego Regionalnego Programu Operacyjnego na lata 2014 - 2020  netto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5" w:space="0" w:color="000000"/>
            </w:tcBorders>
            <w:vAlign w:val="bottom"/>
          </w:tcPr>
          <w:p w:rsidR="004462DA" w:rsidRDefault="004462DA">
            <w:pPr>
              <w:ind w:left="108"/>
            </w:pPr>
          </w:p>
        </w:tc>
      </w:tr>
      <w:tr w:rsidR="004462DA">
        <w:trPr>
          <w:trHeight w:val="193"/>
        </w:trPr>
        <w:tc>
          <w:tcPr>
            <w:tcW w:w="10342" w:type="dxa"/>
            <w:gridSpan w:val="6"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4462DA" w:rsidRDefault="00641409">
            <w:pPr>
              <w:ind w:right="48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VAT 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4462DA" w:rsidRDefault="004462DA">
            <w:pPr>
              <w:ind w:left="108"/>
            </w:pPr>
          </w:p>
        </w:tc>
      </w:tr>
      <w:tr w:rsidR="004462DA">
        <w:trPr>
          <w:trHeight w:val="186"/>
        </w:trPr>
        <w:tc>
          <w:tcPr>
            <w:tcW w:w="1034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4462DA" w:rsidRDefault="00641409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Wartość kosztorysu brutto 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4462DA" w:rsidRDefault="004462DA">
            <w:pPr>
              <w:ind w:left="108"/>
            </w:pPr>
          </w:p>
        </w:tc>
      </w:tr>
    </w:tbl>
    <w:p w:rsidR="00641409" w:rsidRDefault="00641409"/>
    <w:sectPr w:rsidR="00641409">
      <w:headerReference w:type="even" r:id="rId6"/>
      <w:headerReference w:type="default" r:id="rId7"/>
      <w:headerReference w:type="first" r:id="rId8"/>
      <w:pgSz w:w="11899" w:h="16819"/>
      <w:pgMar w:top="1005" w:right="336" w:bottom="543" w:left="377" w:header="3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B9" w:rsidRDefault="00390FB9">
      <w:pPr>
        <w:spacing w:after="0" w:line="240" w:lineRule="auto"/>
      </w:pPr>
      <w:r>
        <w:separator/>
      </w:r>
    </w:p>
  </w:endnote>
  <w:endnote w:type="continuationSeparator" w:id="0">
    <w:p w:rsidR="00390FB9" w:rsidRDefault="003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B9" w:rsidRDefault="00390FB9">
      <w:pPr>
        <w:spacing w:after="0" w:line="240" w:lineRule="auto"/>
      </w:pPr>
      <w:r>
        <w:separator/>
      </w:r>
    </w:p>
  </w:footnote>
  <w:footnote w:type="continuationSeparator" w:id="0">
    <w:p w:rsidR="00390FB9" w:rsidRDefault="0039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DA" w:rsidRDefault="00641409">
    <w:pPr>
      <w:tabs>
        <w:tab w:val="right" w:pos="11186"/>
      </w:tabs>
      <w:spacing w:after="0"/>
    </w:pPr>
    <w:r>
      <w:rPr>
        <w:rFonts w:ascii="Arial" w:eastAsia="Arial" w:hAnsi="Arial" w:cs="Arial"/>
        <w:sz w:val="17"/>
      </w:rPr>
      <w:t>2021-05-28</w:t>
    </w:r>
    <w:r>
      <w:rPr>
        <w:rFonts w:ascii="Arial" w:eastAsia="Arial" w:hAnsi="Arial" w:cs="Arial"/>
        <w:sz w:val="17"/>
      </w:rPr>
      <w:tab/>
      <w:t xml:space="preserve">ZUZIA12 (C) </w:t>
    </w:r>
    <w:proofErr w:type="spellStart"/>
    <w:r>
      <w:rPr>
        <w:rFonts w:ascii="Arial" w:eastAsia="Arial" w:hAnsi="Arial" w:cs="Arial"/>
        <w:sz w:val="17"/>
      </w:rPr>
      <w:t>Datacomp</w:t>
    </w:r>
    <w:proofErr w:type="spellEnd"/>
    <w:r>
      <w:rPr>
        <w:rFonts w:ascii="Arial" w:eastAsia="Arial" w:hAnsi="Arial" w:cs="Arial"/>
        <w:sz w:val="17"/>
      </w:rPr>
      <w:t xml:space="preserve"> 1994-2016</w:t>
    </w:r>
  </w:p>
  <w:p w:rsidR="004462DA" w:rsidRDefault="00641409">
    <w:pPr>
      <w:spacing w:after="0"/>
      <w:ind w:right="45"/>
      <w:jc w:val="right"/>
    </w:pPr>
    <w:r>
      <w:rPr>
        <w:rFonts w:ascii="Arial" w:eastAsia="Arial" w:hAnsi="Arial" w:cs="Arial"/>
        <w:sz w:val="17"/>
      </w:rPr>
      <w:t>(lic. 00052268)</w:t>
    </w:r>
  </w:p>
  <w:p w:rsidR="004462DA" w:rsidRDefault="00641409">
    <w:pPr>
      <w:tabs>
        <w:tab w:val="center" w:pos="10313"/>
        <w:tab w:val="right" w:pos="11186"/>
      </w:tabs>
      <w:spacing w:after="0"/>
    </w:pPr>
    <w:r>
      <w:tab/>
    </w:r>
    <w:r>
      <w:rPr>
        <w:rFonts w:ascii="Arial" w:eastAsia="Arial" w:hAnsi="Arial" w:cs="Arial"/>
        <w:sz w:val="17"/>
      </w:rPr>
      <w:t xml:space="preserve">strona nr: </w:t>
    </w:r>
    <w:r>
      <w:rPr>
        <w:rFonts w:ascii="Arial" w:eastAsia="Arial" w:hAnsi="Arial" w:cs="Arial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7"/>
      </w:rPr>
      <w:t>1</w:t>
    </w:r>
    <w:r>
      <w:rPr>
        <w:rFonts w:ascii="Arial" w:eastAsia="Arial" w:hAnsi="Arial" w:cs="Arial"/>
        <w:sz w:val="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05" w:rsidRDefault="00641409" w:rsidP="00796C05">
    <w:pPr>
      <w:tabs>
        <w:tab w:val="right" w:pos="11186"/>
      </w:tabs>
      <w:spacing w:after="0"/>
    </w:pPr>
    <w:r>
      <w:rPr>
        <w:rFonts w:ascii="Arial" w:eastAsia="Arial" w:hAnsi="Arial" w:cs="Arial"/>
        <w:sz w:val="17"/>
      </w:rPr>
      <w:tab/>
    </w:r>
  </w:p>
  <w:p w:rsidR="004462DA" w:rsidRDefault="004462DA">
    <w:pPr>
      <w:tabs>
        <w:tab w:val="center" w:pos="10313"/>
        <w:tab w:val="right" w:pos="1118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DA" w:rsidRDefault="00641409">
    <w:pPr>
      <w:tabs>
        <w:tab w:val="right" w:pos="11186"/>
      </w:tabs>
      <w:spacing w:after="0"/>
    </w:pPr>
    <w:r>
      <w:rPr>
        <w:rFonts w:ascii="Arial" w:eastAsia="Arial" w:hAnsi="Arial" w:cs="Arial"/>
        <w:sz w:val="17"/>
      </w:rPr>
      <w:t>2021-05-28</w:t>
    </w:r>
    <w:r>
      <w:rPr>
        <w:rFonts w:ascii="Arial" w:eastAsia="Arial" w:hAnsi="Arial" w:cs="Arial"/>
        <w:sz w:val="17"/>
      </w:rPr>
      <w:tab/>
      <w:t xml:space="preserve">ZUZIA12 (C) </w:t>
    </w:r>
    <w:proofErr w:type="spellStart"/>
    <w:r>
      <w:rPr>
        <w:rFonts w:ascii="Arial" w:eastAsia="Arial" w:hAnsi="Arial" w:cs="Arial"/>
        <w:sz w:val="17"/>
      </w:rPr>
      <w:t>Datacomp</w:t>
    </w:r>
    <w:proofErr w:type="spellEnd"/>
    <w:r>
      <w:rPr>
        <w:rFonts w:ascii="Arial" w:eastAsia="Arial" w:hAnsi="Arial" w:cs="Arial"/>
        <w:sz w:val="17"/>
      </w:rPr>
      <w:t xml:space="preserve"> 1994-2016</w:t>
    </w:r>
  </w:p>
  <w:p w:rsidR="004462DA" w:rsidRDefault="00641409">
    <w:pPr>
      <w:spacing w:after="0"/>
      <w:ind w:right="45"/>
      <w:jc w:val="right"/>
    </w:pPr>
    <w:r>
      <w:rPr>
        <w:rFonts w:ascii="Arial" w:eastAsia="Arial" w:hAnsi="Arial" w:cs="Arial"/>
        <w:sz w:val="17"/>
      </w:rPr>
      <w:t>(lic. 00052268)</w:t>
    </w:r>
  </w:p>
  <w:p w:rsidR="004462DA" w:rsidRDefault="00641409">
    <w:pPr>
      <w:tabs>
        <w:tab w:val="center" w:pos="10313"/>
        <w:tab w:val="right" w:pos="11186"/>
      </w:tabs>
      <w:spacing w:after="0"/>
    </w:pPr>
    <w:r>
      <w:tab/>
    </w:r>
    <w:r>
      <w:rPr>
        <w:rFonts w:ascii="Arial" w:eastAsia="Arial" w:hAnsi="Arial" w:cs="Arial"/>
        <w:sz w:val="17"/>
      </w:rPr>
      <w:t xml:space="preserve">strona nr: </w:t>
    </w:r>
    <w:r>
      <w:rPr>
        <w:rFonts w:ascii="Arial" w:eastAsia="Arial" w:hAnsi="Arial" w:cs="Arial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7"/>
      </w:rPr>
      <w:t>1</w:t>
    </w:r>
    <w:r>
      <w:rPr>
        <w:rFonts w:ascii="Arial" w:eastAsia="Arial" w:hAnsi="Arial" w:cs="Arial"/>
        <w:sz w:val="1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DA"/>
    <w:rsid w:val="00390FB9"/>
    <w:rsid w:val="004462DA"/>
    <w:rsid w:val="005660F7"/>
    <w:rsid w:val="00641409"/>
    <w:rsid w:val="007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20C4"/>
  <w15:docId w15:val="{97E3D8AA-1CD9-4537-9201-91947AF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9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C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adaptacyjne w pracowni obsługi konsumenta. Realizowanego w ramach projektu pod nazwą '' Poprawa jakości edukacji zawodowej w Aglomeracji  Konińskiej-dostosowanie infrastruktury edukacyjnej do potrzeb regionalnego rynku pracy'', realizowanego w ramac</vt:lpstr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adaptacyjne w pracowni obsługi konsumenta. Realizowanego w ramach projektu pod nazwą '' Poprawa jakości edukacji zawodowej w Aglomeracji  Konińskiej-dostosowanie infrastruktury edukacyjnej do potrzeb regionalnego rynku pracy'', realizowanego w ramach Wielkopolskiego Regionalnego Programu Operacyjnego na lata 2014 - 2020</dc:title>
  <dc:subject/>
  <dc:creator>Henryk Wiśniewski</dc:creator>
  <cp:keywords>Jeżeli chcesz przekonwertować ten plik do formatu XML, który może być wczytany przez większość systemów do kosztorysowania, skorzystaj z programu PDFKosztorys - www.pdfkosztorys.pl</cp:keywords>
  <cp:lastModifiedBy>Jarosław Michalski | Administracja</cp:lastModifiedBy>
  <cp:revision>3</cp:revision>
  <dcterms:created xsi:type="dcterms:W3CDTF">2021-06-29T09:46:00Z</dcterms:created>
  <dcterms:modified xsi:type="dcterms:W3CDTF">2021-06-29T09:51:00Z</dcterms:modified>
</cp:coreProperties>
</file>